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5C" w:rsidRDefault="00967C5C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67C5C" w:rsidRDefault="00E81969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233669" cy="4023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3669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C5C" w:rsidRDefault="00967C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67C5C" w:rsidRPr="002E1028" w:rsidRDefault="008A7D47" w:rsidP="008A7D47">
      <w:pPr>
        <w:spacing w:before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1028">
        <w:rPr>
          <w:rFonts w:ascii="Times New Roman" w:eastAsia="Times New Roman" w:hAnsi="Times New Roman" w:cs="Times New Roman"/>
          <w:sz w:val="24"/>
          <w:szCs w:val="24"/>
        </w:rPr>
        <w:t xml:space="preserve">DRAFT </w:t>
      </w:r>
      <w:r w:rsidR="00852C4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1028">
        <w:rPr>
          <w:rFonts w:ascii="Times New Roman" w:eastAsia="Times New Roman" w:hAnsi="Times New Roman" w:cs="Times New Roman"/>
          <w:sz w:val="24"/>
          <w:szCs w:val="24"/>
        </w:rPr>
        <w:t>-2</w:t>
      </w:r>
      <w:r w:rsidR="00852C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E1028">
        <w:rPr>
          <w:rFonts w:ascii="Times New Roman" w:eastAsia="Times New Roman" w:hAnsi="Times New Roman" w:cs="Times New Roman"/>
          <w:sz w:val="24"/>
          <w:szCs w:val="24"/>
        </w:rPr>
        <w:t>-2015</w:t>
      </w:r>
    </w:p>
    <w:p w:rsidR="00967C5C" w:rsidRPr="002E1028" w:rsidRDefault="00E81969" w:rsidP="008A7D47">
      <w:pPr>
        <w:pStyle w:val="BodyText"/>
        <w:spacing w:before="58"/>
        <w:ind w:left="0" w:right="186"/>
        <w:rPr>
          <w:rFonts w:ascii="Times New Roman" w:hAnsi="Times New Roman" w:cs="Times New Roman"/>
          <w:sz w:val="24"/>
          <w:szCs w:val="24"/>
        </w:rPr>
      </w:pPr>
      <w:r w:rsidRPr="002E1028">
        <w:rPr>
          <w:rFonts w:ascii="Times New Roman" w:hAnsi="Times New Roman" w:cs="Times New Roman"/>
          <w:spacing w:val="-1"/>
          <w:sz w:val="24"/>
          <w:szCs w:val="24"/>
        </w:rPr>
        <w:t>April</w:t>
      </w:r>
      <w:r w:rsidRPr="002E10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A7D47" w:rsidRPr="002E1028">
        <w:rPr>
          <w:rFonts w:ascii="Times New Roman" w:hAnsi="Times New Roman" w:cs="Times New Roman"/>
          <w:spacing w:val="-1"/>
          <w:sz w:val="24"/>
          <w:szCs w:val="24"/>
        </w:rPr>
        <w:t>30</w:t>
      </w:r>
      <w:r w:rsidRPr="002E1028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E1028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967C5C" w:rsidRPr="002E1028" w:rsidRDefault="00967C5C">
      <w:pPr>
        <w:rPr>
          <w:rFonts w:ascii="Times New Roman" w:eastAsia="Book Antiqua" w:hAnsi="Times New Roman" w:cs="Times New Roman"/>
          <w:sz w:val="24"/>
          <w:szCs w:val="24"/>
        </w:rPr>
      </w:pPr>
    </w:p>
    <w:p w:rsidR="00967C5C" w:rsidRPr="002E1028" w:rsidRDefault="00967C5C">
      <w:pPr>
        <w:rPr>
          <w:rFonts w:ascii="Times New Roman" w:eastAsia="Book Antiqua" w:hAnsi="Times New Roman" w:cs="Times New Roman"/>
          <w:sz w:val="24"/>
          <w:szCs w:val="24"/>
        </w:rPr>
      </w:pPr>
    </w:p>
    <w:p w:rsidR="00967C5C" w:rsidRPr="002E1028" w:rsidRDefault="00967C5C">
      <w:pPr>
        <w:spacing w:before="5"/>
        <w:rPr>
          <w:rFonts w:ascii="Times New Roman" w:eastAsia="Book Antiqua" w:hAnsi="Times New Roman" w:cs="Times New Roman"/>
          <w:sz w:val="24"/>
          <w:szCs w:val="24"/>
        </w:rPr>
      </w:pPr>
    </w:p>
    <w:p w:rsidR="00967C5C" w:rsidRPr="002E1028" w:rsidRDefault="00E81969">
      <w:pPr>
        <w:pStyle w:val="BodyText"/>
        <w:tabs>
          <w:tab w:val="left" w:pos="1540"/>
        </w:tabs>
        <w:spacing w:before="58"/>
        <w:rPr>
          <w:rFonts w:ascii="Times New Roman" w:hAnsi="Times New Roman" w:cs="Times New Roman"/>
          <w:sz w:val="24"/>
          <w:szCs w:val="24"/>
        </w:rPr>
      </w:pPr>
      <w:r w:rsidRPr="002E1028">
        <w:rPr>
          <w:rFonts w:ascii="Times New Roman" w:hAnsi="Times New Roman" w:cs="Times New Roman"/>
          <w:spacing w:val="-1"/>
          <w:sz w:val="24"/>
          <w:szCs w:val="24"/>
        </w:rPr>
        <w:t>To:</w:t>
      </w:r>
      <w:r w:rsidRPr="002E1028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2E1028">
        <w:rPr>
          <w:rFonts w:ascii="Times New Roman" w:hAnsi="Times New Roman" w:cs="Times New Roman"/>
          <w:sz w:val="24"/>
          <w:szCs w:val="24"/>
        </w:rPr>
        <w:t>Deans</w:t>
      </w:r>
    </w:p>
    <w:p w:rsidR="00967C5C" w:rsidRPr="002E1028" w:rsidRDefault="00967C5C">
      <w:pPr>
        <w:rPr>
          <w:rFonts w:ascii="Times New Roman" w:eastAsia="Book Antiqua" w:hAnsi="Times New Roman" w:cs="Times New Roman"/>
          <w:sz w:val="24"/>
          <w:szCs w:val="24"/>
        </w:rPr>
      </w:pPr>
    </w:p>
    <w:p w:rsidR="00967C5C" w:rsidRPr="002E1028" w:rsidRDefault="00E81969">
      <w:pPr>
        <w:pStyle w:val="BodyText"/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 w:rsidRPr="002E1028">
        <w:rPr>
          <w:rFonts w:ascii="Times New Roman" w:hAnsi="Times New Roman" w:cs="Times New Roman"/>
          <w:spacing w:val="-1"/>
          <w:sz w:val="24"/>
          <w:szCs w:val="24"/>
        </w:rPr>
        <w:t>From:</w:t>
      </w:r>
      <w:r w:rsidRPr="002E1028">
        <w:rPr>
          <w:rFonts w:ascii="Times New Roman" w:hAnsi="Times New Roman" w:cs="Times New Roman"/>
          <w:spacing w:val="-1"/>
          <w:sz w:val="24"/>
          <w:szCs w:val="24"/>
        </w:rPr>
        <w:tab/>
        <w:t>Shirley</w:t>
      </w:r>
      <w:r w:rsidRPr="002E1028">
        <w:rPr>
          <w:rFonts w:ascii="Times New Roman" w:hAnsi="Times New Roman" w:cs="Times New Roman"/>
          <w:sz w:val="24"/>
          <w:szCs w:val="24"/>
        </w:rPr>
        <w:t xml:space="preserve"> </w:t>
      </w:r>
      <w:r w:rsidRPr="002E1028">
        <w:rPr>
          <w:rFonts w:ascii="Times New Roman" w:hAnsi="Times New Roman" w:cs="Times New Roman"/>
          <w:spacing w:val="-1"/>
          <w:sz w:val="24"/>
          <w:szCs w:val="24"/>
        </w:rPr>
        <w:t>C.</w:t>
      </w:r>
      <w:r w:rsidRPr="002E10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1028">
        <w:rPr>
          <w:rFonts w:ascii="Times New Roman" w:hAnsi="Times New Roman" w:cs="Times New Roman"/>
          <w:spacing w:val="-1"/>
          <w:sz w:val="24"/>
          <w:szCs w:val="24"/>
        </w:rPr>
        <w:t>Willihnganz</w:t>
      </w:r>
    </w:p>
    <w:p w:rsidR="00967C5C" w:rsidRPr="002E1028" w:rsidRDefault="00E81969">
      <w:pPr>
        <w:pStyle w:val="BodyText"/>
        <w:ind w:left="1540"/>
        <w:rPr>
          <w:rFonts w:ascii="Times New Roman" w:hAnsi="Times New Roman" w:cs="Times New Roman"/>
          <w:sz w:val="24"/>
          <w:szCs w:val="24"/>
        </w:rPr>
      </w:pPr>
      <w:r w:rsidRPr="002E1028">
        <w:rPr>
          <w:rFonts w:ascii="Times New Roman" w:hAnsi="Times New Roman" w:cs="Times New Roman"/>
          <w:spacing w:val="-1"/>
          <w:sz w:val="24"/>
          <w:szCs w:val="24"/>
        </w:rPr>
        <w:t>Executive</w:t>
      </w:r>
      <w:r w:rsidRPr="002E1028">
        <w:rPr>
          <w:rFonts w:ascii="Times New Roman" w:hAnsi="Times New Roman" w:cs="Times New Roman"/>
          <w:sz w:val="24"/>
          <w:szCs w:val="24"/>
        </w:rPr>
        <w:t xml:space="preserve"> </w:t>
      </w:r>
      <w:r w:rsidRPr="002E1028">
        <w:rPr>
          <w:rFonts w:ascii="Times New Roman" w:hAnsi="Times New Roman" w:cs="Times New Roman"/>
          <w:spacing w:val="-1"/>
          <w:sz w:val="24"/>
          <w:szCs w:val="24"/>
        </w:rPr>
        <w:t>Vice</w:t>
      </w:r>
      <w:r w:rsidRPr="002E102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1028">
        <w:rPr>
          <w:rFonts w:ascii="Times New Roman" w:hAnsi="Times New Roman" w:cs="Times New Roman"/>
          <w:spacing w:val="-1"/>
          <w:sz w:val="24"/>
          <w:szCs w:val="24"/>
        </w:rPr>
        <w:t>President</w:t>
      </w:r>
      <w:r w:rsidRPr="002E10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1028">
        <w:rPr>
          <w:rFonts w:ascii="Times New Roman" w:hAnsi="Times New Roman" w:cs="Times New Roman"/>
          <w:sz w:val="24"/>
          <w:szCs w:val="24"/>
        </w:rPr>
        <w:t>and</w:t>
      </w:r>
      <w:r w:rsidRPr="002E10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1028">
        <w:rPr>
          <w:rFonts w:ascii="Times New Roman" w:hAnsi="Times New Roman" w:cs="Times New Roman"/>
          <w:spacing w:val="-1"/>
          <w:sz w:val="24"/>
          <w:szCs w:val="24"/>
        </w:rPr>
        <w:t>University</w:t>
      </w:r>
      <w:r w:rsidRPr="002E10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1028">
        <w:rPr>
          <w:rFonts w:ascii="Times New Roman" w:hAnsi="Times New Roman" w:cs="Times New Roman"/>
          <w:spacing w:val="-1"/>
          <w:sz w:val="24"/>
          <w:szCs w:val="24"/>
        </w:rPr>
        <w:t>Provost</w:t>
      </w:r>
    </w:p>
    <w:p w:rsidR="00967C5C" w:rsidRPr="002E1028" w:rsidRDefault="00967C5C">
      <w:pPr>
        <w:rPr>
          <w:rFonts w:ascii="Times New Roman" w:eastAsia="Book Antiqua" w:hAnsi="Times New Roman" w:cs="Times New Roman"/>
          <w:sz w:val="24"/>
          <w:szCs w:val="24"/>
        </w:rPr>
      </w:pPr>
    </w:p>
    <w:p w:rsidR="00967C5C" w:rsidRPr="002E1028" w:rsidRDefault="00E81969">
      <w:pPr>
        <w:pStyle w:val="BodyText"/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 w:rsidRPr="002E1028">
        <w:rPr>
          <w:rFonts w:ascii="Times New Roman" w:hAnsi="Times New Roman" w:cs="Times New Roman"/>
          <w:spacing w:val="-1"/>
          <w:sz w:val="24"/>
          <w:szCs w:val="24"/>
        </w:rPr>
        <w:t>Re:</w:t>
      </w:r>
      <w:r w:rsidRPr="002E1028">
        <w:rPr>
          <w:rFonts w:ascii="Times New Roman" w:hAnsi="Times New Roman" w:cs="Times New Roman"/>
          <w:spacing w:val="-1"/>
          <w:sz w:val="24"/>
          <w:szCs w:val="24"/>
        </w:rPr>
        <w:tab/>
      </w:r>
      <w:r w:rsidR="008A7D47" w:rsidRPr="002E1028">
        <w:rPr>
          <w:rFonts w:ascii="Times New Roman" w:hAnsi="Times New Roman" w:cs="Times New Roman"/>
          <w:sz w:val="24"/>
          <w:szCs w:val="24"/>
        </w:rPr>
        <w:t>Addition of Title IX/</w:t>
      </w:r>
      <w:proofErr w:type="spellStart"/>
      <w:r w:rsidR="008A7D47" w:rsidRPr="002E1028">
        <w:rPr>
          <w:rFonts w:ascii="Times New Roman" w:hAnsi="Times New Roman" w:cs="Times New Roman"/>
          <w:sz w:val="24"/>
          <w:szCs w:val="24"/>
        </w:rPr>
        <w:t>Clery</w:t>
      </w:r>
      <w:proofErr w:type="spellEnd"/>
      <w:r w:rsidR="008A7D47" w:rsidRPr="002E1028">
        <w:rPr>
          <w:rFonts w:ascii="Times New Roman" w:hAnsi="Times New Roman" w:cs="Times New Roman"/>
          <w:sz w:val="24"/>
          <w:szCs w:val="24"/>
        </w:rPr>
        <w:t xml:space="preserve"> Act Notice to all Course Syllabi</w:t>
      </w:r>
    </w:p>
    <w:p w:rsidR="008A7D47" w:rsidRPr="002E1028" w:rsidRDefault="008A7D47" w:rsidP="008A7D47">
      <w:pPr>
        <w:pStyle w:val="BodyText"/>
        <w:tabs>
          <w:tab w:val="left" w:pos="154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E76A7" w:rsidRDefault="00CC03A6" w:rsidP="00EE76A7">
      <w:pPr>
        <w:rPr>
          <w:rFonts w:ascii="Times New Roman" w:eastAsia="Book Antiqua" w:hAnsi="Times New Roman" w:cs="Times New Roman"/>
          <w:sz w:val="24"/>
          <w:szCs w:val="24"/>
        </w:rPr>
      </w:pPr>
      <w:r w:rsidRPr="002E1028">
        <w:rPr>
          <w:rFonts w:ascii="Times New Roman" w:eastAsia="Book Antiqua" w:hAnsi="Times New Roman" w:cs="Times New Roman"/>
          <w:sz w:val="24"/>
          <w:szCs w:val="24"/>
        </w:rPr>
        <w:t xml:space="preserve">On December 18, 2014, I notified the university community about the </w:t>
      </w:r>
      <w:hyperlink r:id="rId7" w:history="1">
        <w:r w:rsidRPr="00764AD8">
          <w:rPr>
            <w:rStyle w:val="Hyperlink"/>
            <w:rFonts w:ascii="Times New Roman" w:eastAsia="Book Antiqua" w:hAnsi="Times New Roman" w:cs="Times New Roman"/>
            <w:sz w:val="24"/>
            <w:szCs w:val="24"/>
          </w:rPr>
          <w:t xml:space="preserve">Title IX &amp; </w:t>
        </w:r>
        <w:proofErr w:type="spellStart"/>
        <w:r w:rsidRPr="00764AD8">
          <w:rPr>
            <w:rStyle w:val="Hyperlink"/>
            <w:rFonts w:ascii="Times New Roman" w:eastAsia="Book Antiqua" w:hAnsi="Times New Roman" w:cs="Times New Roman"/>
            <w:sz w:val="24"/>
            <w:szCs w:val="24"/>
          </w:rPr>
          <w:t>Clery</w:t>
        </w:r>
        <w:proofErr w:type="spellEnd"/>
        <w:r w:rsidRPr="00764AD8">
          <w:rPr>
            <w:rStyle w:val="Hyperlink"/>
            <w:rFonts w:ascii="Times New Roman" w:eastAsia="Book Antiqua" w:hAnsi="Times New Roman" w:cs="Times New Roman"/>
            <w:sz w:val="24"/>
            <w:szCs w:val="24"/>
          </w:rPr>
          <w:t xml:space="preserve"> Act Mandatory Reporting Guidelines</w:t>
        </w:r>
        <w:r w:rsidR="00EE76A7" w:rsidRPr="00764AD8">
          <w:rPr>
            <w:rStyle w:val="Hyperlink"/>
            <w:rFonts w:ascii="Times New Roman" w:eastAsia="Book Antiqua" w:hAnsi="Times New Roman" w:cs="Times New Roman"/>
            <w:sz w:val="24"/>
            <w:szCs w:val="24"/>
          </w:rPr>
          <w:t xml:space="preserve">. </w:t>
        </w:r>
      </w:hyperlink>
    </w:p>
    <w:p w:rsidR="00764AD8" w:rsidRPr="002E1028" w:rsidRDefault="00764AD8" w:rsidP="00EE76A7">
      <w:pPr>
        <w:rPr>
          <w:rFonts w:ascii="Times New Roman" w:eastAsia="Book Antiqua" w:hAnsi="Times New Roman" w:cs="Times New Roman"/>
          <w:sz w:val="24"/>
          <w:szCs w:val="24"/>
        </w:rPr>
      </w:pPr>
      <w:bookmarkStart w:id="0" w:name="_GoBack"/>
      <w:bookmarkEnd w:id="0"/>
    </w:p>
    <w:p w:rsidR="00EE76A7" w:rsidRPr="002E1028" w:rsidRDefault="00EE76A7" w:rsidP="00EE76A7">
      <w:pPr>
        <w:rPr>
          <w:rFonts w:ascii="Times New Roman" w:eastAsia="Book Antiqua" w:hAnsi="Times New Roman" w:cs="Times New Roman"/>
          <w:sz w:val="24"/>
          <w:szCs w:val="24"/>
        </w:rPr>
      </w:pPr>
      <w:r w:rsidRPr="002E1028">
        <w:rPr>
          <w:rFonts w:ascii="Times New Roman" w:eastAsia="Book Antiqua" w:hAnsi="Times New Roman" w:cs="Times New Roman"/>
          <w:sz w:val="24"/>
          <w:szCs w:val="24"/>
        </w:rPr>
        <w:t xml:space="preserve">Under Title IX, “responsible employees” have a mandatory responsibility to report allegations of sexual misconduct and/or gender discrimination. The </w:t>
      </w:r>
      <w:proofErr w:type="spellStart"/>
      <w:r w:rsidRPr="002E1028">
        <w:rPr>
          <w:rFonts w:ascii="Times New Roman" w:eastAsia="Book Antiqua" w:hAnsi="Times New Roman" w:cs="Times New Roman"/>
          <w:sz w:val="24"/>
          <w:szCs w:val="24"/>
        </w:rPr>
        <w:t>Clery</w:t>
      </w:r>
      <w:proofErr w:type="spellEnd"/>
      <w:r w:rsidRPr="002E1028">
        <w:rPr>
          <w:rFonts w:ascii="Times New Roman" w:eastAsia="Book Antiqua" w:hAnsi="Times New Roman" w:cs="Times New Roman"/>
          <w:sz w:val="24"/>
          <w:szCs w:val="24"/>
        </w:rPr>
        <w:t xml:space="preserve"> Act is broader in scope and requires “responsible employees” who witness or become aware of specific enumerated crimes against persons or property to report crimes to University Police in a timely manner, but such reports may be anonymous. The Mandatory Reporting Guidelines are posted to HR’s website under HR Items of Interest at </w:t>
      </w:r>
      <w:hyperlink r:id="rId8" w:history="1">
        <w:r w:rsidRPr="002E1028">
          <w:rPr>
            <w:rStyle w:val="Hyperlink"/>
            <w:rFonts w:ascii="Times New Roman" w:eastAsia="Book Antiqua" w:hAnsi="Times New Roman" w:cs="Times New Roman"/>
            <w:sz w:val="24"/>
            <w:szCs w:val="24"/>
          </w:rPr>
          <w:t>http://louisville.edu/hr/itemsofinterest/title-ix-and-clery-act-mandatory-reporting-guidelines-1</w:t>
        </w:r>
      </w:hyperlink>
    </w:p>
    <w:p w:rsidR="00967C5C" w:rsidRPr="002E1028" w:rsidRDefault="00967C5C" w:rsidP="00EE76A7">
      <w:pPr>
        <w:rPr>
          <w:rFonts w:ascii="Times New Roman" w:eastAsia="Book Antiqua" w:hAnsi="Times New Roman" w:cs="Times New Roman"/>
          <w:sz w:val="24"/>
          <w:szCs w:val="24"/>
        </w:rPr>
      </w:pPr>
    </w:p>
    <w:p w:rsidR="00967C5C" w:rsidRPr="002E1028" w:rsidRDefault="00EE76A7">
      <w:pPr>
        <w:rPr>
          <w:rFonts w:ascii="Times New Roman" w:eastAsia="Book Antiqua" w:hAnsi="Times New Roman" w:cs="Times New Roman"/>
          <w:sz w:val="24"/>
          <w:szCs w:val="24"/>
        </w:rPr>
      </w:pPr>
      <w:r w:rsidRPr="002E1028">
        <w:rPr>
          <w:rFonts w:ascii="Times New Roman" w:eastAsia="Book Antiqua" w:hAnsi="Times New Roman" w:cs="Times New Roman"/>
          <w:sz w:val="24"/>
          <w:szCs w:val="24"/>
        </w:rPr>
        <w:t>Based on feedback from the deans and other</w:t>
      </w:r>
      <w:r w:rsidR="00561B4E" w:rsidRPr="002E1028">
        <w:rPr>
          <w:rFonts w:ascii="Times New Roman" w:eastAsia="Book Antiqua" w:hAnsi="Times New Roman" w:cs="Times New Roman"/>
          <w:sz w:val="24"/>
          <w:szCs w:val="24"/>
        </w:rPr>
        <w:t>s</w:t>
      </w:r>
      <w:r w:rsidRPr="002E1028">
        <w:rPr>
          <w:rFonts w:ascii="Times New Roman" w:eastAsia="Book Antiqua" w:hAnsi="Times New Roman" w:cs="Times New Roman"/>
          <w:sz w:val="24"/>
          <w:szCs w:val="24"/>
        </w:rPr>
        <w:t xml:space="preserve"> involved in the mandatory training, it has become clear that in order to ensure students awareness of these guideli</w:t>
      </w:r>
      <w:r w:rsidR="00561B4E" w:rsidRPr="002E1028">
        <w:rPr>
          <w:rFonts w:ascii="Times New Roman" w:eastAsia="Book Antiqua" w:hAnsi="Times New Roman" w:cs="Times New Roman"/>
          <w:sz w:val="24"/>
          <w:szCs w:val="24"/>
        </w:rPr>
        <w:t xml:space="preserve">nes this information must be added to course syllabi. The following statement should be added to all course syllabi effective ____________. </w:t>
      </w:r>
    </w:p>
    <w:p w:rsidR="00561B4E" w:rsidRPr="002E1028" w:rsidRDefault="00561B4E" w:rsidP="00561B4E">
      <w:pPr>
        <w:ind w:left="720"/>
        <w:jc w:val="both"/>
        <w:rPr>
          <w:rFonts w:ascii="Times New Roman" w:eastAsia="Book Antiqua" w:hAnsi="Times New Roman" w:cs="Times New Roman"/>
        </w:rPr>
      </w:pPr>
    </w:p>
    <w:p w:rsidR="00561B4E" w:rsidRPr="002E1028" w:rsidRDefault="00561B4E" w:rsidP="002E1028">
      <w:pPr>
        <w:ind w:left="720" w:right="1310"/>
        <w:jc w:val="both"/>
        <w:rPr>
          <w:rFonts w:ascii="Times New Roman" w:eastAsia="Book Antiqua" w:hAnsi="Times New Roman" w:cs="Times New Roman"/>
          <w:b/>
          <w:u w:val="single"/>
        </w:rPr>
      </w:pPr>
      <w:r w:rsidRPr="002E1028">
        <w:rPr>
          <w:rFonts w:ascii="Times New Roman" w:eastAsia="Book Antiqua" w:hAnsi="Times New Roman" w:cs="Times New Roman"/>
          <w:b/>
          <w:u w:val="single"/>
        </w:rPr>
        <w:t>Title IX/</w:t>
      </w:r>
      <w:proofErr w:type="spellStart"/>
      <w:r w:rsidRPr="002E1028">
        <w:rPr>
          <w:rFonts w:ascii="Times New Roman" w:eastAsia="Book Antiqua" w:hAnsi="Times New Roman" w:cs="Times New Roman"/>
          <w:b/>
          <w:u w:val="single"/>
        </w:rPr>
        <w:t>Clery</w:t>
      </w:r>
      <w:proofErr w:type="spellEnd"/>
      <w:r w:rsidRPr="002E1028">
        <w:rPr>
          <w:rFonts w:ascii="Times New Roman" w:eastAsia="Book Antiqua" w:hAnsi="Times New Roman" w:cs="Times New Roman"/>
          <w:b/>
          <w:u w:val="single"/>
        </w:rPr>
        <w:t xml:space="preserve"> Act Notification </w:t>
      </w:r>
    </w:p>
    <w:p w:rsidR="00561B4E" w:rsidRPr="002E1028" w:rsidRDefault="00561B4E" w:rsidP="002E1028">
      <w:pPr>
        <w:ind w:left="720" w:right="1310"/>
        <w:jc w:val="both"/>
        <w:rPr>
          <w:rFonts w:ascii="Times New Roman" w:eastAsia="Book Antiqua" w:hAnsi="Times New Roman" w:cs="Times New Roman"/>
        </w:rPr>
      </w:pPr>
      <w:r w:rsidRPr="002E1028">
        <w:rPr>
          <w:rFonts w:ascii="Times New Roman" w:eastAsia="Book Antiqua" w:hAnsi="Times New Roman" w:cs="Times New Roman"/>
        </w:rPr>
        <w:t xml:space="preserve">Sexual misconduct (sexual harassment, sexual assault, and sexual/dating/domestic violence) and sex discrimination are violations of University policies. Anyone experiencing sexual misconduct and/or sex discrimination has the right to obtain </w:t>
      </w:r>
      <w:r w:rsidRPr="002E1028">
        <w:rPr>
          <w:rFonts w:ascii="Times New Roman" w:eastAsia="Book Antiqua" w:hAnsi="Times New Roman" w:cs="Times New Roman"/>
          <w:u w:val="single"/>
        </w:rPr>
        <w:t>confidential support</w:t>
      </w:r>
      <w:r w:rsidRPr="002E1028">
        <w:rPr>
          <w:rFonts w:ascii="Times New Roman" w:eastAsia="Book Antiqua" w:hAnsi="Times New Roman" w:cs="Times New Roman"/>
        </w:rPr>
        <w:t> from the PEACC Program 852-2663, Counseling Center 852-6585 and Campus Health Services 852-6479. </w:t>
      </w:r>
    </w:p>
    <w:p w:rsidR="00561B4E" w:rsidRPr="002E1028" w:rsidRDefault="00561B4E" w:rsidP="002E1028">
      <w:pPr>
        <w:ind w:left="720" w:right="1310"/>
        <w:jc w:val="both"/>
        <w:rPr>
          <w:rFonts w:ascii="Times New Roman" w:eastAsia="Book Antiqua" w:hAnsi="Times New Roman" w:cs="Times New Roman"/>
        </w:rPr>
      </w:pPr>
    </w:p>
    <w:p w:rsidR="00561B4E" w:rsidRPr="002E1028" w:rsidRDefault="00561B4E" w:rsidP="002E1028">
      <w:pPr>
        <w:ind w:left="720" w:right="1310"/>
        <w:jc w:val="both"/>
        <w:rPr>
          <w:rFonts w:ascii="Times New Roman" w:eastAsia="Book Antiqua" w:hAnsi="Times New Roman" w:cs="Times New Roman"/>
        </w:rPr>
      </w:pPr>
      <w:r w:rsidRPr="002E1028">
        <w:rPr>
          <w:rFonts w:ascii="Times New Roman" w:eastAsia="Book Antiqua" w:hAnsi="Times New Roman" w:cs="Times New Roman"/>
        </w:rPr>
        <w:t xml:space="preserve">Reporting your </w:t>
      </w:r>
      <w:r w:rsidR="0023300A">
        <w:rPr>
          <w:rFonts w:ascii="Times New Roman" w:eastAsia="Book Antiqua" w:hAnsi="Times New Roman" w:cs="Times New Roman"/>
        </w:rPr>
        <w:t xml:space="preserve">experience or </w:t>
      </w:r>
      <w:r w:rsidRPr="002E1028">
        <w:rPr>
          <w:rFonts w:ascii="Times New Roman" w:eastAsia="Book Antiqua" w:hAnsi="Times New Roman" w:cs="Times New Roman"/>
        </w:rPr>
        <w:t xml:space="preserve">incident to any other University employee (including, but not limited to, professors and instructors) is </w:t>
      </w:r>
      <w:r w:rsidRPr="002E1028">
        <w:rPr>
          <w:rFonts w:ascii="Times New Roman" w:eastAsia="Book Antiqua" w:hAnsi="Times New Roman" w:cs="Times New Roman"/>
          <w:u w:val="single"/>
        </w:rPr>
        <w:t>an official, non-confidential report</w:t>
      </w:r>
      <w:r w:rsidRPr="002E1028">
        <w:rPr>
          <w:rFonts w:ascii="Times New Roman" w:eastAsia="Book Antiqua" w:hAnsi="Times New Roman" w:cs="Times New Roman"/>
        </w:rPr>
        <w:t xml:space="preserve"> to the University.  To file an official report, please contact the Dean of Student’s Office 852-5787 and/or the University of Louisville Police Department 852-6111.  For more information regarding your rights as a victim of sexual misconduct, see the Sexual Misconduct Resource Guide (</w:t>
      </w:r>
      <w:hyperlink r:id="rId9" w:tgtFrame="_blank" w:history="1">
        <w:r w:rsidRPr="002E1028">
          <w:rPr>
            <w:rStyle w:val="Hyperlink"/>
            <w:rFonts w:ascii="Times New Roman" w:eastAsia="Book Antiqua" w:hAnsi="Times New Roman" w:cs="Times New Roman"/>
          </w:rPr>
          <w:t>http://louisville.edu/hr/employeerelations/sexual-misconduct-brochure</w:t>
        </w:r>
      </w:hyperlink>
      <w:r w:rsidRPr="002E1028">
        <w:rPr>
          <w:rFonts w:ascii="Times New Roman" w:eastAsia="Book Antiqua" w:hAnsi="Times New Roman" w:cs="Times New Roman"/>
        </w:rPr>
        <w:t>).</w:t>
      </w:r>
    </w:p>
    <w:p w:rsidR="00561B4E" w:rsidRPr="002E1028" w:rsidRDefault="00561B4E">
      <w:pPr>
        <w:rPr>
          <w:rFonts w:ascii="Times New Roman" w:eastAsia="Book Antiqua" w:hAnsi="Times New Roman" w:cs="Times New Roman"/>
          <w:sz w:val="24"/>
          <w:szCs w:val="24"/>
        </w:rPr>
      </w:pPr>
    </w:p>
    <w:p w:rsidR="00EE76A7" w:rsidRPr="002E1028" w:rsidRDefault="002E1028">
      <w:pPr>
        <w:rPr>
          <w:rFonts w:ascii="Times New Roman" w:eastAsia="Book Antiqua" w:hAnsi="Times New Roman" w:cs="Times New Roman"/>
          <w:sz w:val="24"/>
          <w:szCs w:val="24"/>
        </w:rPr>
      </w:pPr>
      <w:r w:rsidRPr="002E1028">
        <w:rPr>
          <w:rFonts w:ascii="Times New Roman" w:eastAsia="Book Antiqua" w:hAnsi="Times New Roman" w:cs="Times New Roman"/>
          <w:b/>
          <w:sz w:val="24"/>
          <w:szCs w:val="24"/>
        </w:rPr>
        <w:t xml:space="preserve">This notification should be added to </w:t>
      </w:r>
      <w:r w:rsidR="00B374AE">
        <w:rPr>
          <w:rFonts w:ascii="Times New Roman" w:eastAsia="Book Antiqua" w:hAnsi="Times New Roman" w:cs="Times New Roman"/>
          <w:b/>
          <w:sz w:val="24"/>
          <w:szCs w:val="24"/>
        </w:rPr>
        <w:t xml:space="preserve">all </w:t>
      </w:r>
      <w:r w:rsidRPr="002E1028">
        <w:rPr>
          <w:rFonts w:ascii="Times New Roman" w:eastAsia="Book Antiqua" w:hAnsi="Times New Roman" w:cs="Times New Roman"/>
          <w:b/>
          <w:sz w:val="24"/>
          <w:szCs w:val="24"/>
        </w:rPr>
        <w:t xml:space="preserve">syllabi as stated with no changes. </w:t>
      </w:r>
      <w:r>
        <w:rPr>
          <w:rFonts w:ascii="Times New Roman" w:eastAsia="Book Antiqua" w:hAnsi="Times New Roman" w:cs="Times New Roman"/>
          <w:sz w:val="24"/>
          <w:szCs w:val="24"/>
        </w:rPr>
        <w:t>The academic deans are charged with the dissemination of this directive and monitoring compliance to ensure the publication of the notification</w:t>
      </w:r>
      <w:r w:rsidR="00B374AE">
        <w:rPr>
          <w:rFonts w:ascii="Times New Roman" w:eastAsia="Book Antiqua" w:hAnsi="Times New Roman" w:cs="Times New Roman"/>
          <w:sz w:val="24"/>
          <w:szCs w:val="24"/>
        </w:rPr>
        <w:t>.</w:t>
      </w:r>
      <w:r>
        <w:rPr>
          <w:rFonts w:ascii="Times New Roman" w:eastAsia="Book Antiqua" w:hAnsi="Times New Roman" w:cs="Times New Roman"/>
          <w:sz w:val="24"/>
          <w:szCs w:val="24"/>
        </w:rPr>
        <w:t xml:space="preserve"> </w:t>
      </w:r>
    </w:p>
    <w:p w:rsidR="00EE76A7" w:rsidRPr="002E1028" w:rsidRDefault="00EE76A7">
      <w:pPr>
        <w:rPr>
          <w:rFonts w:ascii="Times New Roman" w:eastAsia="Book Antiqua" w:hAnsi="Times New Roman" w:cs="Times New Roman"/>
          <w:sz w:val="24"/>
          <w:szCs w:val="24"/>
        </w:rPr>
      </w:pPr>
    </w:p>
    <w:p w:rsidR="00967C5C" w:rsidRPr="002E1028" w:rsidRDefault="002E1028">
      <w:pPr>
        <w:rPr>
          <w:rFonts w:ascii="Times New Roman" w:eastAsia="Book Antiqua" w:hAnsi="Times New Roman" w:cs="Times New Roman"/>
          <w:sz w:val="24"/>
          <w:szCs w:val="24"/>
        </w:rPr>
      </w:pPr>
      <w:r>
        <w:rPr>
          <w:rFonts w:ascii="Times New Roman" w:eastAsia="Book Antiqua" w:hAnsi="Times New Roman" w:cs="Times New Roman"/>
          <w:sz w:val="24"/>
          <w:szCs w:val="24"/>
        </w:rPr>
        <w:t xml:space="preserve">If there are any questions, please contact _________________________________. </w:t>
      </w:r>
    </w:p>
    <w:p w:rsidR="00967C5C" w:rsidRPr="002E1028" w:rsidRDefault="00967C5C">
      <w:pPr>
        <w:rPr>
          <w:rFonts w:ascii="Times New Roman" w:eastAsia="Book Antiqua" w:hAnsi="Times New Roman" w:cs="Times New Roman"/>
          <w:sz w:val="24"/>
          <w:szCs w:val="24"/>
        </w:rPr>
      </w:pPr>
    </w:p>
    <w:p w:rsidR="00967C5C" w:rsidRDefault="00967C5C">
      <w:pPr>
        <w:spacing w:before="11"/>
        <w:rPr>
          <w:rFonts w:ascii="Book Antiqua" w:eastAsia="Book Antiqua" w:hAnsi="Book Antiqua" w:cs="Book Antiqua"/>
          <w:sz w:val="10"/>
          <w:szCs w:val="10"/>
        </w:rPr>
      </w:pPr>
    </w:p>
    <w:p w:rsidR="00967C5C" w:rsidRDefault="00E81969">
      <w:pPr>
        <w:spacing w:line="200" w:lineRule="atLeast"/>
        <w:ind w:left="10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</w:rPr>
        <w:drawing>
          <wp:inline distT="0" distB="0" distL="0" distR="0">
            <wp:extent cx="2319655" cy="25907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C5C">
      <w:type w:val="continuous"/>
      <w:pgSz w:w="12240" w:h="15840"/>
      <w:pgMar w:top="640" w:right="8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7E3A"/>
    <w:multiLevelType w:val="hybridMultilevel"/>
    <w:tmpl w:val="8D601BA0"/>
    <w:lvl w:ilvl="0" w:tplc="37CCE08A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C28035C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62862134">
      <w:start w:val="1"/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2E42175E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DBCCDB6C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51DCFA2E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7966A072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A1A83E4C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43EC1AEA">
      <w:start w:val="1"/>
      <w:numFmt w:val="bullet"/>
      <w:lvlText w:val="•"/>
      <w:lvlJc w:val="left"/>
      <w:pPr>
        <w:ind w:left="81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5C"/>
    <w:rsid w:val="0023300A"/>
    <w:rsid w:val="002E1028"/>
    <w:rsid w:val="00561B4E"/>
    <w:rsid w:val="00764AD8"/>
    <w:rsid w:val="00852C44"/>
    <w:rsid w:val="008A7D47"/>
    <w:rsid w:val="00967C5C"/>
    <w:rsid w:val="00B374AE"/>
    <w:rsid w:val="00CC03A6"/>
    <w:rsid w:val="00E5067E"/>
    <w:rsid w:val="00E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7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76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A7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D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7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uisville.edu/hr/itemsofinterest/title-ix-and-clery-act-mandatory-reporting-guidelines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ouisville.edu/oapa/consumer-information-1/title-ix-and-clery-a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louisville.edu/hr/employeerelations/sexual-misconduct-broch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Scott Vowels</dc:creator>
  <cp:lastModifiedBy>Shumake,Connie Covington</cp:lastModifiedBy>
  <cp:revision>2</cp:revision>
  <cp:lastPrinted>2015-04-29T17:59:00Z</cp:lastPrinted>
  <dcterms:created xsi:type="dcterms:W3CDTF">2015-04-29T18:08:00Z</dcterms:created>
  <dcterms:modified xsi:type="dcterms:W3CDTF">2015-04-29T18:08:00Z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LastSaved">
    <vt:filetime>2015-04-23T00:00:00Z</vt:filetime>
  </property>
</Properties>
</file>